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关于开展2023年廉洁教育系列活动的通知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000000"/>
          <w:spacing w:val="0"/>
          <w:sz w:val="28"/>
          <w:szCs w:val="28"/>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各二级党组织：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根据《省教育厅关于组织参加第八届高校廉洁教育系列活动的通知》（鄂教思政函〔2023〕2号）要求，为深入学习贯彻党的二十大精神，贯彻落实党中央《关于加强新时代廉洁文化建设的意见》，引导广大师生员工进一步夯实清正廉洁思想根基、厚植廉洁奉公文化基础、培养廉洁自律道德操守、弘扬崇廉拒腐社会风尚，不断增强廉洁治校、廉洁从教、廉洁育人、廉洁修身意识，纵深推进全面从严治党，结合学校实际，现将开展有关活动事宜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一、活动主题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廉洁润初心  铸魂担使命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二、活动对象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全体在校师生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三、活动组织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本次活动作为学校学习宣传贯彻党的二十大精神的重要组成部分，由党委组织部、党委宣传部、党委学生工作部、纪检监察（审计）办公室、图书馆、艺术设计与传媒学院联合主办。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四、活动内容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结合学校实际，围绕推动党员领导干部廉洁从政、教师廉洁育人、学生廉洁养成，分知识问答、作品征集和案例展示三个单元。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（一）知识问答单元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组织师生参加廉洁知识网络答题，推动形成学习贯彻党的二十大精神、习近平总书记关于党风廉政建设的重要论述的重大理论、重点知识、重要部署的热潮。具体通过关注“中国大学生在线”微信公众号，点击菜单栏“廉洁教育”参与答题，或登录中国大学生在线活动平台参与答题，首次登录需填写姓名、绑定手机号并填写武汉华夏理工学院。鼓励师生广泛参与廉洁教育知识答题，每人可答十次，记录最高成绩。教育部将综合答题正确率、完成时间等因素对全国前100名优秀学员颁发电子学习认证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牵头单位：党委组织部、党委学生工作部、</w:t>
      </w:r>
      <w:bookmarkStart w:id="0" w:name="_Hlk129348696"/>
      <w:bookmarkEnd w:id="0"/>
      <w:r>
        <w:rPr>
          <w:rFonts w:hint="eastAsia" w:ascii="宋体" w:hAnsi="宋体" w:eastAsia="宋体" w:cs="宋体"/>
          <w:i w:val="0"/>
          <w:iCs w:val="0"/>
          <w:caps w:val="0"/>
          <w:color w:val="000000"/>
          <w:spacing w:val="0"/>
          <w:sz w:val="28"/>
          <w:szCs w:val="28"/>
          <w:bdr w:val="none" w:color="auto" w:sz="0" w:space="0"/>
          <w:shd w:val="clear" w:fill="FFFFFF"/>
        </w:rPr>
        <w:t>纪检监察（审计）办公室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（二）作品征集单元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廉心文语”校园征文。组织干部师生结合思想、工作、学习、生活实际，撰写诗歌、散文、随笔、信件等，促进理想信念、价值理念、优良传统等深入干部师生思想和心灵，弘扬廉洁教风、廉洁学风和廉洁家风。除诗歌外，文章字数3000字左右。文件为doc或docx格式，标题为二号黑体，正文为四号宋体，单倍行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牵头单位：图书馆、党委组织部、纪检监察（审计）办公室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润心话语”视频征集。组织干部师生围绕廉洁故事、清廉人物、典型案例等，创作兼具思想性、艺术性和观赏性的情景剧视频作品，挖掘宣传革命先辈、历史人物、身边榜样的廉洁事迹和崇高品格，激励干部师生廉以律已、无私奉献，推动学校事业高质量发展。作品应以尊重史实和客观实际为基础，构思新颖，内涵丰富、寓意深刻。视频格式为mp4格式，像素不超过1920*1080，画质清晰，声音清楚，标注字幕。视频时长应在20分钟以内。每部视频作品需附200字左右文字说明，简要介绍创意思路、主要内容、特色特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牵头单位：党委宣传部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清心妙语”创意征集。组织干部师生挖掘校园文化、历史文献、传统经典、文物古迹等蕴含的廉洁元素，创作海报、公益广告、文创设计等平面创意作品，提炼廉洁文化的思想内涵、时代价值和教化功能，为培养社会主义建设者和接班人营造良好育人环境和政治生态。设计作品要求思想积极、创意独特、形式新颖，具有较强的辨识度和整体美感，富有艺术感染力和视觉冲击力，每件作品需附作品名称和200字以内的设计说明，能够清晰表达作品立意内容。作品须为平面图片形式，格式为jpg或png，一件作品图片不超过四张，单张图片尺寸为210mm*290mm，分辨率为300dpi, RGB模式。单张图片大小不超过20M。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牵头单位：艺术设计与传媒学院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（三）案例展示单元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各二级党组织结合活动开展，系统梳理党的十八大以来加强廉洁教育的做法成效，提炼形成廉洁教育工作案例。经学校评审后，优秀案例采取线上线下相结合的方式宣传展示，并择优向省教育厅推荐，优秀获奖案例将在全国范围内集中展示。工作案例重点着眼于廉洁教育对提升本单位治理能力、促进师德师风建设、增强思想政治教育工作成效的作用，突出学用结合、学以致用，以知促行、知行合一，具有系统的工作思路、完善的运行机制、典型的经验做法、坚强的组织保障、突出的工作成效，可学习可借鉴、可复制可推广。每项案例需提交《高校廉洁教育工作案例申报书》（以二级党组织名称+工作案例名称命名）、支撑材料一份（用于网络宣传展示，照片不多于5张，视频不多于一部，格式为mp4格式，像素不超过1920*1080，5分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牵头单位：纪检监察（审计）办公室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r>
        <w:rPr>
          <w:rStyle w:val="8"/>
          <w:rFonts w:hint="eastAsia" w:ascii="宋体" w:hAnsi="宋体" w:eastAsia="宋体" w:cs="宋体"/>
          <w:i w:val="0"/>
          <w:iCs w:val="0"/>
          <w:caps w:val="0"/>
          <w:color w:val="000000"/>
          <w:spacing w:val="0"/>
          <w:sz w:val="28"/>
          <w:szCs w:val="28"/>
          <w:bdr w:val="none" w:color="auto" w:sz="0" w:space="0"/>
          <w:shd w:val="clear" w:fill="FFFFFF"/>
        </w:rPr>
        <w:t>五、作品要求和报送方式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1.作品要求：各类提交的作品需为原创作品，作品的版权和内容遵守国家各项法律法规，不存在知识产权方面的争议，适合公开宣传展示。凡涉及有关法律问题，由作者自行负责。一经提交，视为作品作者同意将该作品的使用权授予此廉洁教育系列活动组织单位。组织单位有权在相关活动和资料中使用（包括刻录光盘、编辑画册或用于展览、宣传等）。不支付作者稿酬，作者享有署名权。各类作品原则上不予退还，请作者自留底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2.报送方式：每件作品以“征文/视频/设计/案例—姓名—二级党组织名称—联系电话”命名，每类作品单独设文件夹，以二级党组织为单位于2023年4月21日前，将作品电子版和经基层党组织审核盖章的作品推荐表（详见附件1）、作品推荐汇总表（详见附件2）、案例推荐表（详见附件3），报送至各牵头单位。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征文类：图书馆联系人：张老师，联系电话：81695632；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视频类：党委宣传部联系人：张老师，联系电话：81695513；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设计类：艺术设计与传媒学院联系人：陈老师，联系电话：81695759；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案例类</w:t>
      </w:r>
      <w:bookmarkStart w:id="1" w:name="_Hlk129350487"/>
      <w:bookmarkEnd w:id="1"/>
      <w:r>
        <w:rPr>
          <w:rFonts w:hint="eastAsia" w:ascii="宋体" w:hAnsi="宋体" w:eastAsia="宋体" w:cs="宋体"/>
          <w:i w:val="0"/>
          <w:iCs w:val="0"/>
          <w:caps w:val="0"/>
          <w:color w:val="000000"/>
          <w:spacing w:val="0"/>
          <w:sz w:val="28"/>
          <w:szCs w:val="28"/>
          <w:bdr w:val="none" w:color="auto" w:sz="0" w:space="0"/>
          <w:shd w:val="clear" w:fill="FFFFFF"/>
        </w:rPr>
        <w:t>：纪检监察（审计）办公室联系人：黄老师，联系电话：81695556。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r>
        <w:rPr>
          <w:rStyle w:val="8"/>
          <w:rFonts w:hint="eastAsia" w:ascii="宋体" w:hAnsi="宋体" w:eastAsia="宋体" w:cs="宋体"/>
          <w:i w:val="0"/>
          <w:iCs w:val="0"/>
          <w:caps w:val="0"/>
          <w:color w:val="000000"/>
          <w:spacing w:val="0"/>
          <w:sz w:val="28"/>
          <w:szCs w:val="28"/>
          <w:bdr w:val="none" w:color="auto" w:sz="0" w:space="0"/>
          <w:shd w:val="clear" w:fill="FFFFFF"/>
        </w:rPr>
        <w:t>六、活动安排和评选展示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2023年3月启动，2023年6月结束。分为各单位组织报送、学校评选推荐、集中展示宣传三个阶段。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1.各单位组织报送（2023年4月21日前）：各二级党组织结合自身实际，组织开展廉洁教育活动，遴选优秀作品报送。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2.学校评选推荐（2023年4月下旬）：学校根据各单位选送的各类作品和案例，按照相关标准要求，组成相关领域专家组，从政治性、思想性、艺术性、教育性等方面进行评选，遴选出的优秀作品和案例择优向上级推荐，获评全国获奖作品参加统一展示。同时，学校将根据各二级党组织组织参加知识问答人数比例、报送作品数量和质量情况评选“优秀组织奖”，确定一、二、三等奖作品若干，颁发荣誉证书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3.集中宣传展示（2023年5-6月）：经评选出的优秀作品和案例，在学校相关平台推送展示，并积极向各主流媒体推送。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Style w:val="8"/>
          <w:rFonts w:hint="eastAsia" w:ascii="宋体" w:hAnsi="宋体" w:eastAsia="宋体" w:cs="宋体"/>
          <w:i w:val="0"/>
          <w:iCs w:val="0"/>
          <w:caps w:val="0"/>
          <w:color w:val="000000"/>
          <w:spacing w:val="0"/>
          <w:sz w:val="28"/>
          <w:szCs w:val="28"/>
          <w:bdr w:val="none" w:color="auto" w:sz="0" w:space="0"/>
          <w:shd w:val="clear" w:fill="FFFFFF"/>
        </w:rPr>
        <w:t>七、工作要求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1.高度重视。各二级党组织要将此活动作为学习贯彻党的二十大精神、落实中央决策部署的重要举措，加强组织领导、精心研讨、组织策划，广泛动员干部师生积极参与，保证数量、注重质量。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2.严格规范。在活动组织开展中，要严把政治关、质量关和公正关，坚持正确的政治方向、舆论导向和价值取向，坚决杜绝各类弄虚作假行为，提交的作品不得有知识产权争议。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3.注重实效。各单位要结合本单位特点，突出特色，务求实效，发挥活动的牵引作用，将廉洁教育与党团组织生活、校园文化活动、师生社会实践等有机结合，探索形成常态化长效化廉洁教育机制。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4.浓厚氛围。各牵头部门、各二级党组织要充分利用各自宣传平台，围绕活动主题做好宣传教育，大力营造学廉思廉践廉的校园文化氛围。</w:t>
      </w:r>
    </w:p>
    <w:p/>
    <w:p/>
    <w:p/>
    <w:p/>
    <w:p/>
    <w:p/>
    <w:p/>
    <w:p/>
    <w:p/>
    <w:p/>
    <w:p/>
    <w:p/>
    <w:p/>
    <w:p/>
    <w:p/>
    <w:p/>
    <w:p/>
    <w:p/>
    <w:p/>
    <w:p/>
    <w:p/>
    <w:p/>
    <w:p/>
    <w:p/>
    <w:p/>
    <w:p/>
    <w:p/>
    <w:p>
      <w:pPr>
        <w:spacing w:before="156" w:beforeLines="50" w:after="156" w:afterLines="50" w:line="60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 xml:space="preserve"> </w:t>
      </w:r>
    </w:p>
    <w:p>
      <w:pPr>
        <w:spacing w:before="156" w:beforeLines="50" w:after="156" w:afterLines="50" w:line="600" w:lineRule="exact"/>
        <w:jc w:val="center"/>
        <w:rPr>
          <w:rFonts w:eastAsia="方正小标宋简体"/>
          <w:sz w:val="44"/>
          <w:szCs w:val="44"/>
        </w:rPr>
      </w:pPr>
      <w:r>
        <w:rPr>
          <w:rFonts w:hint="eastAsia" w:eastAsia="方正小标宋简体"/>
          <w:sz w:val="44"/>
          <w:szCs w:val="44"/>
        </w:rPr>
        <w:t xml:space="preserve"> </w:t>
      </w:r>
      <w:r>
        <w:rPr>
          <w:rFonts w:eastAsia="方正小标宋简体"/>
          <w:sz w:val="44"/>
          <w:szCs w:val="44"/>
        </w:rPr>
        <w:t>廉洁</w:t>
      </w:r>
      <w:r>
        <w:rPr>
          <w:rFonts w:hint="eastAsia" w:eastAsia="方正小标宋简体"/>
          <w:sz w:val="44"/>
          <w:szCs w:val="44"/>
        </w:rPr>
        <w:t>教育</w:t>
      </w:r>
      <w:r>
        <w:rPr>
          <w:rFonts w:eastAsia="方正小标宋简体"/>
          <w:sz w:val="44"/>
          <w:szCs w:val="44"/>
        </w:rPr>
        <w:t>作品推荐表</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1"/>
        <w:gridCol w:w="2330"/>
        <w:gridCol w:w="5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作品名称</w:t>
            </w:r>
          </w:p>
        </w:tc>
        <w:tc>
          <w:tcPr>
            <w:tcW w:w="7362" w:type="dxa"/>
            <w:gridSpan w:val="2"/>
            <w:vAlign w:val="center"/>
          </w:tcPr>
          <w:p>
            <w:pPr>
              <w:jc w:val="righ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推荐类别</w:t>
            </w:r>
          </w:p>
        </w:tc>
        <w:tc>
          <w:tcPr>
            <w:tcW w:w="7362" w:type="dxa"/>
            <w:gridSpan w:val="2"/>
            <w:vAlign w:val="center"/>
          </w:tcPr>
          <w:p>
            <w:pPr>
              <w:wordWrap w:val="0"/>
              <w:jc w:val="right"/>
              <w:rPr>
                <w:rFonts w:ascii="仿宋_GB2312" w:hAnsi="仿宋_GB2312" w:eastAsia="仿宋_GB2312" w:cs="仿宋_GB2312"/>
                <w:sz w:val="24"/>
              </w:rPr>
            </w:pPr>
            <w:r>
              <w:rPr>
                <w:rFonts w:hint="eastAsia" w:ascii="仿宋_GB2312" w:hAnsi="仿宋_GB2312" w:eastAsia="仿宋_GB2312" w:cs="仿宋_GB2312"/>
                <w:sz w:val="24"/>
              </w:rPr>
              <w:t>（征文/视频/设计）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698" w:type="dxa"/>
            <w:gridSpan w:val="2"/>
            <w:vAlign w:val="center"/>
          </w:tcPr>
          <w:p>
            <w:pPr>
              <w:spacing w:line="3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所在基层</w:t>
            </w:r>
          </w:p>
          <w:p>
            <w:pPr>
              <w:spacing w:line="3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党组织</w:t>
            </w:r>
          </w:p>
        </w:tc>
        <w:tc>
          <w:tcPr>
            <w:tcW w:w="7362" w:type="dxa"/>
            <w:gridSpan w:val="2"/>
            <w:vAlign w:val="center"/>
          </w:tcPr>
          <w:p>
            <w:pPr>
              <w:spacing w:line="320" w:lineRule="exact"/>
              <w:ind w:firstLine="3720" w:firstLineChars="1550"/>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69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联系方式</w:t>
            </w:r>
          </w:p>
        </w:tc>
        <w:tc>
          <w:tcPr>
            <w:tcW w:w="7362" w:type="dxa"/>
            <w:gridSpan w:val="2"/>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27" w:type="dxa"/>
            <w:vMerge w:val="restart"/>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主要参</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与</w:t>
            </w:r>
          </w:p>
          <w:p>
            <w:pPr>
              <w:jc w:val="center"/>
              <w:rPr>
                <w:rFonts w:ascii="仿宋_GB2312" w:hAnsi="仿宋_GB2312" w:eastAsia="仿宋_GB2312" w:cs="仿宋_GB2312"/>
                <w:sz w:val="24"/>
              </w:rPr>
            </w:pPr>
            <w:r>
              <w:rPr>
                <w:rFonts w:hint="eastAsia" w:ascii="仿宋_GB2312" w:hAnsi="仿宋_GB2312" w:eastAsia="仿宋_GB2312" w:cs="仿宋_GB2312"/>
                <w:b/>
                <w:sz w:val="24"/>
              </w:rPr>
              <w:t>者</w:t>
            </w:r>
          </w:p>
        </w:tc>
        <w:tc>
          <w:tcPr>
            <w:tcW w:w="117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33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503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27" w:type="dxa"/>
            <w:vMerge w:val="continue"/>
            <w:vAlign w:val="center"/>
          </w:tcPr>
          <w:p>
            <w:pPr>
              <w:rPr>
                <w:rFonts w:ascii="仿宋_GB2312" w:hAnsi="仿宋_GB2312" w:eastAsia="仿宋_GB2312" w:cs="仿宋_GB2312"/>
                <w:sz w:val="24"/>
              </w:rPr>
            </w:pPr>
          </w:p>
        </w:tc>
        <w:tc>
          <w:tcPr>
            <w:tcW w:w="117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330" w:type="dxa"/>
            <w:vAlign w:val="center"/>
          </w:tcPr>
          <w:p>
            <w:pPr>
              <w:jc w:val="center"/>
              <w:rPr>
                <w:rFonts w:ascii="仿宋_GB2312" w:hAnsi="仿宋_GB2312" w:eastAsia="仿宋_GB2312" w:cs="仿宋_GB2312"/>
                <w:sz w:val="24"/>
              </w:rPr>
            </w:pPr>
          </w:p>
        </w:tc>
        <w:tc>
          <w:tcPr>
            <w:tcW w:w="503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27" w:type="dxa"/>
            <w:vMerge w:val="continue"/>
          </w:tcPr>
          <w:p>
            <w:pPr>
              <w:rPr>
                <w:rFonts w:ascii="仿宋_GB2312" w:hAnsi="仿宋_GB2312" w:eastAsia="仿宋_GB2312" w:cs="仿宋_GB2312"/>
                <w:sz w:val="24"/>
              </w:rPr>
            </w:pPr>
          </w:p>
        </w:tc>
        <w:tc>
          <w:tcPr>
            <w:tcW w:w="117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330" w:type="dxa"/>
            <w:vAlign w:val="center"/>
          </w:tcPr>
          <w:p>
            <w:pPr>
              <w:jc w:val="center"/>
              <w:rPr>
                <w:rFonts w:ascii="仿宋_GB2312" w:hAnsi="仿宋_GB2312" w:eastAsia="仿宋_GB2312" w:cs="仿宋_GB2312"/>
                <w:sz w:val="24"/>
              </w:rPr>
            </w:pPr>
          </w:p>
        </w:tc>
        <w:tc>
          <w:tcPr>
            <w:tcW w:w="503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27" w:type="dxa"/>
            <w:vMerge w:val="continue"/>
          </w:tcPr>
          <w:p>
            <w:pPr>
              <w:rPr>
                <w:rFonts w:ascii="仿宋_GB2312" w:hAnsi="仿宋_GB2312" w:eastAsia="仿宋_GB2312" w:cs="仿宋_GB2312"/>
                <w:sz w:val="24"/>
              </w:rPr>
            </w:pPr>
          </w:p>
        </w:tc>
        <w:tc>
          <w:tcPr>
            <w:tcW w:w="117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330" w:type="dxa"/>
            <w:vAlign w:val="center"/>
          </w:tcPr>
          <w:p>
            <w:pPr>
              <w:jc w:val="center"/>
              <w:rPr>
                <w:rFonts w:ascii="仿宋_GB2312" w:hAnsi="仿宋_GB2312" w:eastAsia="仿宋_GB2312" w:cs="仿宋_GB2312"/>
                <w:sz w:val="24"/>
              </w:rPr>
            </w:pPr>
          </w:p>
        </w:tc>
        <w:tc>
          <w:tcPr>
            <w:tcW w:w="503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27" w:type="dxa"/>
            <w:vMerge w:val="continue"/>
          </w:tcPr>
          <w:p>
            <w:pPr>
              <w:rPr>
                <w:rFonts w:ascii="仿宋_GB2312" w:hAnsi="仿宋_GB2312" w:eastAsia="仿宋_GB2312" w:cs="仿宋_GB2312"/>
                <w:sz w:val="24"/>
              </w:rPr>
            </w:pPr>
          </w:p>
        </w:tc>
        <w:tc>
          <w:tcPr>
            <w:tcW w:w="117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330" w:type="dxa"/>
            <w:vAlign w:val="center"/>
          </w:tcPr>
          <w:p>
            <w:pPr>
              <w:jc w:val="center"/>
              <w:rPr>
                <w:rFonts w:ascii="仿宋_GB2312" w:hAnsi="仿宋_GB2312" w:eastAsia="仿宋_GB2312" w:cs="仿宋_GB2312"/>
                <w:sz w:val="24"/>
              </w:rPr>
            </w:pPr>
          </w:p>
        </w:tc>
        <w:tc>
          <w:tcPr>
            <w:tcW w:w="5032"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698" w:type="dxa"/>
            <w:gridSpan w:val="2"/>
            <w:vAlign w:val="center"/>
          </w:tcPr>
          <w:p>
            <w:pPr>
              <w:jc w:val="center"/>
              <w:rPr>
                <w:rFonts w:ascii="仿宋_GB2312" w:hAnsi="仿宋_GB2312" w:eastAsia="仿宋_GB2312" w:cs="仿宋_GB2312"/>
                <w:b/>
              </w:rPr>
            </w:pPr>
            <w:r>
              <w:rPr>
                <w:rFonts w:hint="eastAsia" w:ascii="仿宋_GB2312" w:hAnsi="仿宋_GB2312" w:eastAsia="仿宋_GB2312" w:cs="仿宋_GB2312"/>
                <w:b/>
                <w:sz w:val="24"/>
              </w:rPr>
              <w:t>原创承诺</w:t>
            </w:r>
          </w:p>
        </w:tc>
        <w:tc>
          <w:tcPr>
            <w:tcW w:w="7362" w:type="dxa"/>
            <w:gridSpan w:val="2"/>
          </w:tcPr>
          <w:p>
            <w:pPr>
              <w:adjustRightInd w:val="0"/>
              <w:snapToGrid w:val="0"/>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此作品为本人牵头制作的原创作品，作品以尊重客观事实为基础，积极健康，适合公开宣传展示。同意将该作品的使用权（包括但不限于基于宣传目的对作品的改编、汇编、互联网传播等）授予高校廉洁教育系列活动组织单位。所授权作品的版权和内容遵守国家各项法律法规，不存在知识产权方面的争议。如有违反本承诺相关行为，由本人承担一切由此带来的法律责任。</w:t>
            </w:r>
          </w:p>
          <w:p>
            <w:pPr>
              <w:pStyle w:val="2"/>
              <w:wordWrap w:val="0"/>
              <w:spacing w:after="0" w:line="400" w:lineRule="exact"/>
              <w:ind w:firstLine="24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承诺人（签字）：              </w:t>
            </w:r>
          </w:p>
          <w:p>
            <w:pPr>
              <w:wordWrap w:val="0"/>
              <w:spacing w:line="400" w:lineRule="exact"/>
              <w:jc w:val="right"/>
              <w:rPr>
                <w:rFonts w:ascii="仿宋_GB2312" w:hAnsi="仿宋_GB2312" w:eastAsia="仿宋_GB2312" w:cs="仿宋_GB2312"/>
              </w:rPr>
            </w:pPr>
            <w:r>
              <w:rPr>
                <w:rFonts w:hint="eastAsia" w:ascii="仿宋_GB2312" w:hAnsi="仿宋_GB2312" w:eastAsia="仿宋_GB2312" w:cs="仿宋_GB2312"/>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1698" w:type="dxa"/>
            <w:gridSpan w:val="2"/>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基层党组织</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意见</w:t>
            </w:r>
          </w:p>
        </w:tc>
        <w:tc>
          <w:tcPr>
            <w:tcW w:w="7362" w:type="dxa"/>
            <w:gridSpan w:val="2"/>
          </w:tcPr>
          <w:p>
            <w:pPr>
              <w:spacing w:line="360" w:lineRule="exact"/>
              <w:rPr>
                <w:rFonts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98" w:type="dxa"/>
            <w:gridSpan w:val="2"/>
            <w:tcBorders>
              <w:bottom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学校意见</w:t>
            </w:r>
          </w:p>
        </w:tc>
        <w:tc>
          <w:tcPr>
            <w:tcW w:w="7362" w:type="dxa"/>
            <w:gridSpan w:val="2"/>
            <w:tcBorders>
              <w:bottom w:val="single" w:color="auto" w:sz="4" w:space="0"/>
            </w:tcBorders>
          </w:tcPr>
          <w:p>
            <w:pPr>
              <w:spacing w:line="360" w:lineRule="exact"/>
              <w:rPr>
                <w:rFonts w:ascii="仿宋_GB2312" w:hAnsi="仿宋_GB2312" w:eastAsia="仿宋_GB2312" w:cs="仿宋_GB2312"/>
                <w:sz w:val="24"/>
              </w:rPr>
            </w:pPr>
          </w:p>
          <w:p>
            <w:pPr>
              <w:spacing w:line="360" w:lineRule="exact"/>
              <w:ind w:right="960"/>
              <w:rPr>
                <w:rFonts w:hint="eastAsia" w:ascii="仿宋_GB2312" w:hAnsi="仿宋_GB2312" w:eastAsia="仿宋_GB2312" w:cs="仿宋_GB2312"/>
                <w:sz w:val="24"/>
              </w:rPr>
            </w:pPr>
          </w:p>
          <w:p>
            <w:pPr>
              <w:spacing w:line="36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（盖章）                  </w:t>
            </w:r>
          </w:p>
          <w:p>
            <w:pPr>
              <w:spacing w:line="36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bl>
    <w:p>
      <w:pPr>
        <w:rPr>
          <w:rFonts w:hint="eastAsia"/>
        </w:rPr>
      </w:pPr>
    </w:p>
    <w:p/>
    <w:p>
      <w:pPr>
        <w:pStyle w:val="2"/>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pStyle w:val="2"/>
        <w:ind w:firstLine="200"/>
      </w:pPr>
    </w:p>
    <w:p>
      <w:pPr>
        <w:spacing w:after="156" w:afterLines="50" w:line="560" w:lineRule="exact"/>
        <w:jc w:val="center"/>
        <w:rPr>
          <w:rFonts w:eastAsia="方正小标宋简体"/>
          <w:sz w:val="44"/>
          <w:szCs w:val="44"/>
        </w:rPr>
      </w:pPr>
      <w:r>
        <w:rPr>
          <w:rFonts w:eastAsia="方正小标宋简体"/>
          <w:sz w:val="44"/>
          <w:szCs w:val="44"/>
        </w:rPr>
        <w:t>廉洁</w:t>
      </w:r>
      <w:r>
        <w:rPr>
          <w:rFonts w:hint="eastAsia" w:eastAsia="方正小标宋简体"/>
          <w:sz w:val="44"/>
          <w:szCs w:val="44"/>
        </w:rPr>
        <w:t>教育</w:t>
      </w:r>
      <w:r>
        <w:rPr>
          <w:rFonts w:eastAsia="方正小标宋简体"/>
          <w:sz w:val="44"/>
          <w:szCs w:val="44"/>
        </w:rPr>
        <w:t>作品推荐汇总表</w:t>
      </w:r>
    </w:p>
    <w:p>
      <w:pPr>
        <w:spacing w:line="520" w:lineRule="exact"/>
        <w:rPr>
          <w:rFonts w:hint="eastAsia" w:eastAsia="仿宋_GB2312"/>
          <w:sz w:val="28"/>
          <w:szCs w:val="28"/>
        </w:rPr>
      </w:pPr>
      <w:r>
        <w:rPr>
          <w:rFonts w:hint="eastAsia" w:eastAsia="仿宋_GB2312"/>
          <w:sz w:val="28"/>
          <w:szCs w:val="28"/>
        </w:rPr>
        <w:t>单  位</w:t>
      </w:r>
      <w:r>
        <w:rPr>
          <w:rFonts w:eastAsia="仿宋_GB2312"/>
          <w:sz w:val="28"/>
          <w:szCs w:val="28"/>
        </w:rPr>
        <w:t xml:space="preserve">：              </w:t>
      </w:r>
      <w:r>
        <w:rPr>
          <w:rFonts w:hint="eastAsia" w:eastAsia="仿宋_GB2312"/>
          <w:sz w:val="28"/>
          <w:szCs w:val="28"/>
        </w:rPr>
        <w:t xml:space="preserve">         </w:t>
      </w:r>
      <w:r>
        <w:rPr>
          <w:rFonts w:eastAsia="仿宋_GB2312"/>
          <w:sz w:val="28"/>
          <w:szCs w:val="28"/>
        </w:rPr>
        <w:t>类</w:t>
      </w:r>
      <w:r>
        <w:rPr>
          <w:rFonts w:hint="eastAsia" w:eastAsia="仿宋_GB2312"/>
          <w:sz w:val="28"/>
          <w:szCs w:val="28"/>
        </w:rPr>
        <w:t xml:space="preserve">    </w:t>
      </w:r>
      <w:r>
        <w:rPr>
          <w:rFonts w:eastAsia="仿宋_GB2312"/>
          <w:sz w:val="28"/>
          <w:szCs w:val="28"/>
        </w:rPr>
        <w:t>别：</w:t>
      </w:r>
      <w:r>
        <w:rPr>
          <w:rFonts w:hint="eastAsia" w:eastAsia="仿宋_GB2312"/>
          <w:sz w:val="28"/>
          <w:szCs w:val="28"/>
        </w:rPr>
        <w:t>（征文/视频/设计/案例）</w:t>
      </w:r>
    </w:p>
    <w:p>
      <w:pPr>
        <w:spacing w:line="520" w:lineRule="exact"/>
        <w:rPr>
          <w:rFonts w:eastAsia="仿宋_GB2312"/>
          <w:sz w:val="28"/>
          <w:szCs w:val="28"/>
        </w:rPr>
      </w:pPr>
      <w:r>
        <w:rPr>
          <w:rFonts w:eastAsia="仿宋_GB2312"/>
          <w:sz w:val="28"/>
          <w:szCs w:val="28"/>
        </w:rPr>
        <w:t xml:space="preserve">联系人：               </w:t>
      </w:r>
      <w:r>
        <w:rPr>
          <w:rFonts w:hint="eastAsia" w:eastAsia="仿宋_GB2312"/>
          <w:sz w:val="28"/>
          <w:szCs w:val="28"/>
        </w:rPr>
        <w:t xml:space="preserve">   </w:t>
      </w:r>
      <w:r>
        <w:rPr>
          <w:rFonts w:eastAsia="仿宋_GB2312"/>
          <w:sz w:val="28"/>
          <w:szCs w:val="28"/>
        </w:rPr>
        <w:t xml:space="preserve">     联系方式：</w:t>
      </w:r>
    </w:p>
    <w:tbl>
      <w:tblPr>
        <w:tblStyle w:val="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889"/>
        <w:gridCol w:w="1477"/>
        <w:gridCol w:w="1511"/>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46" w:type="dxa"/>
            <w:noWrap w:val="0"/>
            <w:vAlign w:val="center"/>
          </w:tcPr>
          <w:p>
            <w:pPr>
              <w:jc w:val="center"/>
              <w:rPr>
                <w:rFonts w:eastAsia="黑体"/>
                <w:sz w:val="24"/>
              </w:rPr>
            </w:pPr>
            <w:r>
              <w:rPr>
                <w:rFonts w:eastAsia="黑体"/>
                <w:sz w:val="24"/>
              </w:rPr>
              <w:t>序号</w:t>
            </w:r>
          </w:p>
        </w:tc>
        <w:tc>
          <w:tcPr>
            <w:tcW w:w="3889" w:type="dxa"/>
            <w:noWrap w:val="0"/>
            <w:vAlign w:val="center"/>
          </w:tcPr>
          <w:p>
            <w:pPr>
              <w:jc w:val="center"/>
              <w:rPr>
                <w:rFonts w:eastAsia="黑体"/>
                <w:sz w:val="24"/>
              </w:rPr>
            </w:pPr>
            <w:r>
              <w:rPr>
                <w:rFonts w:eastAsia="黑体"/>
                <w:sz w:val="24"/>
              </w:rPr>
              <w:t>作品</w:t>
            </w:r>
            <w:r>
              <w:rPr>
                <w:rFonts w:hint="eastAsia" w:eastAsia="黑体"/>
                <w:sz w:val="24"/>
              </w:rPr>
              <w:t>（案例）</w:t>
            </w:r>
            <w:r>
              <w:rPr>
                <w:rFonts w:eastAsia="黑体"/>
                <w:sz w:val="24"/>
              </w:rPr>
              <w:t>名称</w:t>
            </w:r>
          </w:p>
        </w:tc>
        <w:tc>
          <w:tcPr>
            <w:tcW w:w="1477" w:type="dxa"/>
            <w:noWrap w:val="0"/>
            <w:vAlign w:val="center"/>
          </w:tcPr>
          <w:p>
            <w:pPr>
              <w:jc w:val="center"/>
              <w:rPr>
                <w:rFonts w:eastAsia="黑体"/>
                <w:sz w:val="24"/>
              </w:rPr>
            </w:pPr>
            <w:r>
              <w:rPr>
                <w:rFonts w:eastAsia="黑体"/>
                <w:sz w:val="24"/>
              </w:rPr>
              <w:t>所在</w:t>
            </w:r>
            <w:r>
              <w:rPr>
                <w:rFonts w:hint="eastAsia" w:eastAsia="黑体"/>
                <w:sz w:val="24"/>
              </w:rPr>
              <w:t>基层</w:t>
            </w:r>
          </w:p>
          <w:p>
            <w:pPr>
              <w:jc w:val="center"/>
              <w:rPr>
                <w:rFonts w:eastAsia="黑体"/>
                <w:sz w:val="24"/>
              </w:rPr>
            </w:pPr>
            <w:r>
              <w:rPr>
                <w:rFonts w:hint="eastAsia" w:eastAsia="黑体"/>
                <w:sz w:val="24"/>
              </w:rPr>
              <w:t>党组织</w:t>
            </w:r>
          </w:p>
        </w:tc>
        <w:tc>
          <w:tcPr>
            <w:tcW w:w="1511" w:type="dxa"/>
            <w:noWrap w:val="0"/>
            <w:vAlign w:val="center"/>
          </w:tcPr>
          <w:p>
            <w:pPr>
              <w:jc w:val="center"/>
              <w:rPr>
                <w:rFonts w:eastAsia="黑体"/>
                <w:sz w:val="24"/>
              </w:rPr>
            </w:pPr>
            <w:r>
              <w:rPr>
                <w:rFonts w:hint="eastAsia" w:eastAsia="黑体"/>
                <w:sz w:val="24"/>
              </w:rPr>
              <w:t>作品（案例）</w:t>
            </w:r>
            <w:r>
              <w:rPr>
                <w:rFonts w:eastAsia="黑体"/>
                <w:sz w:val="24"/>
              </w:rPr>
              <w:t>负责人</w:t>
            </w:r>
          </w:p>
        </w:tc>
        <w:tc>
          <w:tcPr>
            <w:tcW w:w="1797" w:type="dxa"/>
            <w:noWrap w:val="0"/>
            <w:vAlign w:val="center"/>
          </w:tcPr>
          <w:p>
            <w:pPr>
              <w:jc w:val="center"/>
              <w:rPr>
                <w:rFonts w:eastAsia="黑体"/>
                <w:sz w:val="24"/>
              </w:rPr>
            </w:pPr>
            <w:r>
              <w:rPr>
                <w:rFonts w:eastAsia="黑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46" w:type="dxa"/>
            <w:noWrap w:val="0"/>
            <w:vAlign w:val="center"/>
          </w:tcPr>
          <w:p>
            <w:pPr>
              <w:jc w:val="center"/>
              <w:rPr>
                <w:rFonts w:eastAsia="仿宋_GB2312"/>
                <w:sz w:val="24"/>
              </w:rPr>
            </w:pPr>
            <w:r>
              <w:rPr>
                <w:rFonts w:eastAsia="仿宋_GB2312"/>
                <w:sz w:val="24"/>
              </w:rPr>
              <w:t>1</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2</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3</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4</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5</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6</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7</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8</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9</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6" w:type="dxa"/>
            <w:noWrap w:val="0"/>
            <w:vAlign w:val="center"/>
          </w:tcPr>
          <w:p>
            <w:pPr>
              <w:jc w:val="center"/>
              <w:rPr>
                <w:rFonts w:eastAsia="仿宋_GB2312"/>
                <w:sz w:val="24"/>
              </w:rPr>
            </w:pPr>
            <w:r>
              <w:rPr>
                <w:rFonts w:eastAsia="仿宋_GB2312"/>
                <w:sz w:val="24"/>
              </w:rPr>
              <w:t>10</w:t>
            </w:r>
          </w:p>
        </w:tc>
        <w:tc>
          <w:tcPr>
            <w:tcW w:w="3889" w:type="dxa"/>
            <w:noWrap w:val="0"/>
            <w:vAlign w:val="center"/>
          </w:tcPr>
          <w:p>
            <w:pPr>
              <w:jc w:val="center"/>
              <w:rPr>
                <w:rFonts w:eastAsia="仿宋_GB2312"/>
                <w:b/>
                <w:sz w:val="24"/>
              </w:rPr>
            </w:pPr>
          </w:p>
        </w:tc>
        <w:tc>
          <w:tcPr>
            <w:tcW w:w="1477" w:type="dxa"/>
            <w:noWrap w:val="0"/>
            <w:vAlign w:val="center"/>
          </w:tcPr>
          <w:p>
            <w:pPr>
              <w:jc w:val="center"/>
              <w:rPr>
                <w:rFonts w:eastAsia="仿宋_GB2312"/>
                <w:b/>
                <w:sz w:val="24"/>
              </w:rPr>
            </w:pPr>
          </w:p>
        </w:tc>
        <w:tc>
          <w:tcPr>
            <w:tcW w:w="1511" w:type="dxa"/>
            <w:noWrap w:val="0"/>
            <w:vAlign w:val="center"/>
          </w:tcPr>
          <w:p>
            <w:pPr>
              <w:jc w:val="center"/>
              <w:rPr>
                <w:rFonts w:eastAsia="仿宋_GB2312"/>
                <w:b/>
                <w:sz w:val="24"/>
              </w:rPr>
            </w:pPr>
          </w:p>
        </w:tc>
        <w:tc>
          <w:tcPr>
            <w:tcW w:w="1797" w:type="dxa"/>
            <w:noWrap w:val="0"/>
            <w:vAlign w:val="center"/>
          </w:tcPr>
          <w:p>
            <w:pPr>
              <w:jc w:val="center"/>
              <w:rPr>
                <w:rFonts w:eastAsia="仿宋_GB2312"/>
                <w:b/>
                <w:sz w:val="24"/>
              </w:rPr>
            </w:pPr>
          </w:p>
        </w:tc>
      </w:tr>
    </w:tbl>
    <w:p>
      <w:pPr>
        <w:spacing w:line="440" w:lineRule="exact"/>
        <w:ind w:left="-199" w:leftChars="-95" w:right="-395" w:rightChars="-188"/>
        <w:rPr>
          <w:rFonts w:eastAsia="楷体_GB2312"/>
          <w:sz w:val="28"/>
          <w:szCs w:val="28"/>
        </w:rPr>
      </w:pPr>
      <w:r>
        <w:rPr>
          <w:rFonts w:eastAsia="楷体_GB2312"/>
          <w:sz w:val="28"/>
          <w:szCs w:val="28"/>
        </w:rPr>
        <w:t>注：此表由各</w:t>
      </w:r>
      <w:r>
        <w:rPr>
          <w:rFonts w:hint="eastAsia" w:eastAsia="楷体_GB2312"/>
          <w:sz w:val="28"/>
          <w:szCs w:val="28"/>
        </w:rPr>
        <w:t>二级党组织</w:t>
      </w:r>
      <w:r>
        <w:rPr>
          <w:rFonts w:eastAsia="楷体_GB2312"/>
          <w:sz w:val="28"/>
          <w:szCs w:val="28"/>
        </w:rPr>
        <w:t>填写，</w:t>
      </w:r>
      <w:r>
        <w:rPr>
          <w:rFonts w:hint="eastAsia" w:eastAsia="楷体_GB2312"/>
          <w:sz w:val="28"/>
          <w:szCs w:val="28"/>
        </w:rPr>
        <w:t>4类作品分开汇总，纸质版须加盖</w:t>
      </w:r>
      <w:r>
        <w:rPr>
          <w:rFonts w:eastAsia="楷体_GB2312"/>
          <w:sz w:val="28"/>
          <w:szCs w:val="28"/>
        </w:rPr>
        <w:t>公章。</w:t>
      </w:r>
    </w:p>
    <w:p/>
    <w:p>
      <w:pPr>
        <w:pStyle w:val="2"/>
      </w:pPr>
    </w:p>
    <w:p>
      <w:pPr>
        <w:pStyle w:val="2"/>
      </w:pPr>
    </w:p>
    <w:p>
      <w:pPr>
        <w:pStyle w:val="2"/>
      </w:pPr>
    </w:p>
    <w:p>
      <w:pPr>
        <w:pStyle w:val="2"/>
      </w:pPr>
    </w:p>
    <w:p>
      <w:pPr>
        <w:pStyle w:val="2"/>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YWIwZWM0NGYxMmE1NDI4NDkzZjBlYWEzZTdiODMifQ=="/>
  </w:docVars>
  <w:rsids>
    <w:rsidRoot w:val="00000000"/>
    <w:rsid w:val="74CD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semiHidden/>
    <w:unhideWhenUsed/>
    <w:qFormat/>
    <w:uiPriority w:val="99"/>
    <w:pPr>
      <w:spacing w:after="12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2023-03-23T00:02:28Z</dcterms:created>
  <dc:creator>Administrator</dc:creator>
  <cp:lastModifiedBy>小花妹妹</cp:lastModifiedBy>
  <dcterms:modified xsi:type="dcterms:W3CDTF">2023-03-23T00:06:07Z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4D99D286CA7F429CB5F38155C7356DEE</vt:lpwstr>
  </property>
</Properties>
</file>