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7F" w:rsidRDefault="007A357F" w:rsidP="007A357F">
      <w:pPr>
        <w:autoSpaceDE w:val="0"/>
        <w:autoSpaceDN w:val="0"/>
        <w:adjustRightInd w:val="0"/>
        <w:spacing w:line="560" w:lineRule="exact"/>
        <w:jc w:val="left"/>
        <w:rPr>
          <w:rFonts w:ascii="华文仿宋" w:eastAsia="华文仿宋" w:hAnsi="华文仿宋" w:cs="PingFangSC-Light"/>
          <w:color w:val="000008"/>
          <w:kern w:val="0"/>
          <w:sz w:val="24"/>
          <w:szCs w:val="24"/>
        </w:rPr>
      </w:pPr>
      <w:r>
        <w:rPr>
          <w:rFonts w:ascii="华文仿宋" w:eastAsia="华文仿宋" w:hAnsi="华文仿宋" w:cs="PingFangSC-Light" w:hint="eastAsia"/>
          <w:color w:val="000008"/>
          <w:kern w:val="0"/>
          <w:sz w:val="24"/>
          <w:szCs w:val="24"/>
        </w:rPr>
        <w:t>附件</w:t>
      </w:r>
      <w:r w:rsidR="00AC6900">
        <w:rPr>
          <w:rFonts w:ascii="华文仿宋" w:eastAsia="华文仿宋" w:hAnsi="华文仿宋" w:cs="PingFangSC-Light" w:hint="eastAsia"/>
          <w:color w:val="000008"/>
          <w:kern w:val="0"/>
          <w:sz w:val="24"/>
          <w:szCs w:val="24"/>
        </w:rPr>
        <w:t>2</w:t>
      </w:r>
      <w:bookmarkStart w:id="0" w:name="_GoBack"/>
      <w:bookmarkEnd w:id="0"/>
    </w:p>
    <w:p w:rsidR="008B4F98" w:rsidRDefault="008B4F98" w:rsidP="007A357F">
      <w:pPr>
        <w:autoSpaceDE w:val="0"/>
        <w:autoSpaceDN w:val="0"/>
        <w:adjustRightInd w:val="0"/>
        <w:spacing w:line="560" w:lineRule="exact"/>
        <w:jc w:val="center"/>
        <w:rPr>
          <w:rFonts w:ascii="黑体" w:eastAsia="黑体" w:hAnsi="黑体" w:cs="PingFangSC-Semibold"/>
          <w:b/>
          <w:color w:val="000008"/>
          <w:kern w:val="0"/>
          <w:sz w:val="32"/>
          <w:szCs w:val="32"/>
        </w:rPr>
      </w:pPr>
      <w:r>
        <w:rPr>
          <w:rFonts w:ascii="黑体" w:eastAsia="黑体" w:hAnsi="黑体" w:cs="PingFangSC-Semibold" w:hint="eastAsia"/>
          <w:b/>
          <w:color w:val="000008"/>
          <w:kern w:val="0"/>
          <w:sz w:val="32"/>
          <w:szCs w:val="32"/>
        </w:rPr>
        <w:t>“华夏之声—读好书，诵经典”活动实施方案</w:t>
      </w:r>
    </w:p>
    <w:p w:rsidR="008B4F98" w:rsidRDefault="008B4F98" w:rsidP="008B4F98">
      <w:pPr>
        <w:spacing w:line="56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在“423世界读书日”到来之际，特举办第六届读好书诵经典活动，在全校范围内发起全民阅读的号召，让阵阵书香飘过校园的每一个角落。</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一、活动主题：一封信</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二、活动目的</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建设华夏特色校园文化，提高师生综合素养，</w:t>
      </w:r>
      <w:r>
        <w:rPr>
          <w:rFonts w:ascii="仿宋" w:eastAsia="仿宋" w:hAnsi="仿宋"/>
          <w:sz w:val="28"/>
          <w:szCs w:val="28"/>
        </w:rPr>
        <w:t>营造</w:t>
      </w:r>
      <w:r>
        <w:rPr>
          <w:rFonts w:ascii="仿宋" w:eastAsia="仿宋" w:hAnsi="仿宋" w:hint="eastAsia"/>
          <w:sz w:val="28"/>
          <w:szCs w:val="28"/>
        </w:rPr>
        <w:t>全校良好的</w:t>
      </w:r>
      <w:r>
        <w:rPr>
          <w:rFonts w:ascii="仿宋" w:eastAsia="仿宋" w:hAnsi="仿宋"/>
          <w:sz w:val="28"/>
          <w:szCs w:val="28"/>
        </w:rPr>
        <w:t>学习氛围，</w:t>
      </w:r>
      <w:r>
        <w:rPr>
          <w:rFonts w:ascii="仿宋" w:eastAsia="仿宋" w:hAnsi="仿宋" w:hint="eastAsia"/>
          <w:sz w:val="28"/>
          <w:szCs w:val="28"/>
        </w:rPr>
        <w:t>号召全校师生养成爱读书的习惯。</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三、主办单位</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团委、图书馆</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四、活动时间地点</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活动时间：2018年4月23日</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活动地点：学术报告厅</w:t>
      </w:r>
    </w:p>
    <w:p w:rsidR="008B4F98" w:rsidRDefault="008B4F98" w:rsidP="008B4F98">
      <w:pPr>
        <w:pStyle w:val="a5"/>
        <w:spacing w:line="560" w:lineRule="exact"/>
        <w:ind w:leftChars="-28" w:left="-59" w:firstLine="560"/>
        <w:rPr>
          <w:rFonts w:ascii="仿宋" w:eastAsia="仿宋" w:hAnsi="仿宋"/>
          <w:sz w:val="28"/>
          <w:szCs w:val="28"/>
        </w:rPr>
      </w:pPr>
      <w:r>
        <w:rPr>
          <w:rFonts w:ascii="仿宋" w:eastAsia="仿宋" w:hAnsi="仿宋" w:hint="eastAsia"/>
          <w:sz w:val="28"/>
          <w:szCs w:val="28"/>
        </w:rPr>
        <w:t>五、书信诵读主题</w:t>
      </w:r>
    </w:p>
    <w:p w:rsidR="008B4F98" w:rsidRDefault="008B4F98" w:rsidP="008B4F98">
      <w:pPr>
        <w:tabs>
          <w:tab w:val="left" w:pos="312"/>
        </w:tabs>
        <w:spacing w:line="560" w:lineRule="exact"/>
        <w:ind w:firstLineChars="200" w:firstLine="560"/>
        <w:rPr>
          <w:rFonts w:ascii="仿宋" w:eastAsia="仿宋" w:hAnsi="仿宋"/>
          <w:sz w:val="28"/>
          <w:szCs w:val="28"/>
        </w:rPr>
      </w:pPr>
      <w:r>
        <w:rPr>
          <w:rFonts w:ascii="仿宋" w:eastAsia="仿宋" w:hAnsi="仿宋" w:hint="eastAsia"/>
          <w:sz w:val="28"/>
          <w:szCs w:val="28"/>
        </w:rPr>
        <w:t>具体主题方案团委负责。</w:t>
      </w:r>
    </w:p>
    <w:p w:rsidR="008B4F98" w:rsidRDefault="008B4F98" w:rsidP="008B4F98">
      <w:pPr>
        <w:pStyle w:val="a5"/>
        <w:spacing w:line="560" w:lineRule="exact"/>
        <w:ind w:firstLine="560"/>
        <w:rPr>
          <w:rFonts w:ascii="仿宋" w:eastAsia="仿宋" w:hAnsi="仿宋"/>
          <w:sz w:val="28"/>
          <w:szCs w:val="28"/>
        </w:rPr>
      </w:pPr>
      <w:r>
        <w:rPr>
          <w:rFonts w:ascii="仿宋" w:eastAsia="仿宋" w:hAnsi="仿宋" w:hint="eastAsia"/>
          <w:sz w:val="28"/>
          <w:szCs w:val="28"/>
        </w:rPr>
        <w:t>六、活动安排</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.宣传中心协助完成相关宣传工作；</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2.4月13日前，各学院推选出1-2名读信人至团委办公室。</w:t>
      </w:r>
    </w:p>
    <w:p w:rsidR="008B4F98" w:rsidRDefault="008B4F98" w:rsidP="008B4F98">
      <w:pPr>
        <w:spacing w:line="560" w:lineRule="exact"/>
        <w:ind w:firstLineChars="200" w:firstLine="560"/>
        <w:rPr>
          <w:rFonts w:ascii="仿宋" w:eastAsia="仿宋" w:hAnsi="仿宋"/>
          <w:sz w:val="28"/>
          <w:szCs w:val="28"/>
        </w:rPr>
      </w:pPr>
      <w:r>
        <w:rPr>
          <w:rFonts w:ascii="仿宋" w:eastAsia="仿宋" w:hAnsi="仿宋" w:hint="eastAsia"/>
          <w:sz w:val="28"/>
          <w:szCs w:val="28"/>
        </w:rPr>
        <w:t>3.4月15日由团委组织最终评选，选出5名读信人参加4月18日在报告厅的活动。</w:t>
      </w:r>
    </w:p>
    <w:p w:rsidR="008B4F98" w:rsidRDefault="008B4F98" w:rsidP="008B4F98">
      <w:pPr>
        <w:spacing w:line="560" w:lineRule="exact"/>
        <w:ind w:leftChars="200" w:left="420"/>
        <w:rPr>
          <w:rFonts w:ascii="仿宋" w:eastAsia="仿宋" w:hAnsi="仿宋"/>
          <w:sz w:val="28"/>
          <w:szCs w:val="28"/>
        </w:rPr>
      </w:pPr>
      <w:r>
        <w:rPr>
          <w:rFonts w:ascii="仿宋" w:eastAsia="仿宋" w:hAnsi="仿宋" w:hint="eastAsia"/>
          <w:sz w:val="28"/>
          <w:szCs w:val="28"/>
        </w:rPr>
        <w:t>七、活动准备</w:t>
      </w:r>
    </w:p>
    <w:p w:rsidR="008B4F98" w:rsidRDefault="008B4F98" w:rsidP="008B4F98">
      <w:pPr>
        <w:tabs>
          <w:tab w:val="left" w:pos="318"/>
        </w:tabs>
        <w:spacing w:line="560" w:lineRule="exact"/>
        <w:ind w:firstLineChars="200" w:firstLine="560"/>
        <w:rPr>
          <w:rFonts w:ascii="仿宋" w:eastAsia="仿宋" w:hAnsi="仿宋"/>
          <w:sz w:val="28"/>
          <w:szCs w:val="28"/>
        </w:rPr>
      </w:pPr>
      <w:r>
        <w:rPr>
          <w:rFonts w:ascii="仿宋" w:eastAsia="仿宋" w:hAnsi="仿宋" w:hint="eastAsia"/>
          <w:sz w:val="28"/>
          <w:szCs w:val="28"/>
        </w:rPr>
        <w:t>1.各学院、各单位按照规定时间选出读信人，自带书信参加团委终选，团委如期选出5名读信人，魅声朗诵协会负责节目朗读质量；</w:t>
      </w:r>
    </w:p>
    <w:p w:rsidR="008B4F98" w:rsidRDefault="008B4F98" w:rsidP="008B4F98">
      <w:pPr>
        <w:tabs>
          <w:tab w:val="left" w:pos="318"/>
        </w:tabs>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2.团委、魅声朗诵协会负责当天节目安排，邀请参与的嘉宾；</w:t>
      </w:r>
    </w:p>
    <w:p w:rsidR="008B4F98" w:rsidRDefault="008B4F98" w:rsidP="008B4F98">
      <w:pPr>
        <w:tabs>
          <w:tab w:val="left" w:pos="318"/>
        </w:tabs>
        <w:spacing w:line="560" w:lineRule="exact"/>
        <w:ind w:firstLineChars="200" w:firstLine="560"/>
        <w:rPr>
          <w:rFonts w:ascii="仿宋" w:eastAsia="仿宋" w:hAnsi="仿宋"/>
          <w:sz w:val="28"/>
          <w:szCs w:val="28"/>
        </w:rPr>
      </w:pPr>
      <w:r>
        <w:rPr>
          <w:rFonts w:ascii="仿宋" w:eastAsia="仿宋" w:hAnsi="仿宋" w:hint="eastAsia"/>
          <w:sz w:val="28"/>
          <w:szCs w:val="28"/>
        </w:rPr>
        <w:t>3.宣传中心做好前期的线上线下宣传。</w:t>
      </w:r>
    </w:p>
    <w:p w:rsidR="008B4F98" w:rsidRDefault="008B4F98" w:rsidP="008B4F98">
      <w:pPr>
        <w:tabs>
          <w:tab w:val="left" w:pos="318"/>
        </w:tabs>
        <w:spacing w:line="560" w:lineRule="exact"/>
        <w:ind w:firstLineChars="200" w:firstLine="560"/>
        <w:rPr>
          <w:rFonts w:ascii="仿宋" w:eastAsia="仿宋" w:hAnsi="仿宋"/>
          <w:sz w:val="28"/>
          <w:szCs w:val="28"/>
        </w:rPr>
      </w:pPr>
      <w:r>
        <w:rPr>
          <w:rFonts w:ascii="仿宋" w:eastAsia="仿宋" w:hAnsi="仿宋" w:hint="eastAsia"/>
          <w:sz w:val="28"/>
          <w:szCs w:val="28"/>
        </w:rPr>
        <w:t>4.学校相关官微共同转发图书馆制作的微信电子邀请函以吸引更多感兴趣的师生参加，图书馆负责统计报名人数并发放入场券</w:t>
      </w: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余券由学工处负责组织学生观看</w:t>
      </w:r>
      <w:r>
        <w:rPr>
          <w:rFonts w:ascii="仿宋" w:eastAsia="仿宋" w:hAnsi="仿宋" w:hint="eastAsia"/>
          <w:sz w:val="28"/>
          <w:szCs w:val="28"/>
        </w:rPr>
        <w:t>。</w:t>
      </w:r>
    </w:p>
    <w:p w:rsidR="008B4F98" w:rsidRDefault="008B4F98" w:rsidP="008B4F98">
      <w:pPr>
        <w:spacing w:line="560" w:lineRule="exact"/>
        <w:ind w:firstLineChars="200" w:firstLine="640"/>
        <w:rPr>
          <w:rFonts w:ascii="仿宋" w:eastAsia="仿宋" w:hAnsi="仿宋"/>
          <w:sz w:val="32"/>
          <w:szCs w:val="32"/>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8B4F98" w:rsidRDefault="008B4F98" w:rsidP="008B4F98">
      <w:pPr>
        <w:autoSpaceDE w:val="0"/>
        <w:autoSpaceDN w:val="0"/>
        <w:adjustRightInd w:val="0"/>
        <w:spacing w:line="560" w:lineRule="exact"/>
        <w:jc w:val="left"/>
        <w:rPr>
          <w:rFonts w:ascii="华文仿宋" w:eastAsia="华文仿宋" w:hAnsi="华文仿宋" w:cs="PingFangSC-Light"/>
          <w:color w:val="000008"/>
          <w:kern w:val="0"/>
          <w:sz w:val="24"/>
          <w:szCs w:val="24"/>
        </w:rPr>
      </w:pPr>
    </w:p>
    <w:p w:rsidR="00010404" w:rsidRPr="008B4F98" w:rsidRDefault="004A4369"/>
    <w:sectPr w:rsidR="00010404" w:rsidRPr="008B4F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369" w:rsidRDefault="004A4369" w:rsidP="008B4F98">
      <w:r>
        <w:separator/>
      </w:r>
    </w:p>
  </w:endnote>
  <w:endnote w:type="continuationSeparator" w:id="0">
    <w:p w:rsidR="004A4369" w:rsidRDefault="004A4369" w:rsidP="008B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PingFangSC-Light">
    <w:altName w:val="MingLiU-ExtB"/>
    <w:charset w:val="88"/>
    <w:family w:val="auto"/>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PingFangSC-Semibold">
    <w:altName w:val="MingLiU-ExtB"/>
    <w:charset w:val="88"/>
    <w:family w:val="auto"/>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369" w:rsidRDefault="004A4369" w:rsidP="008B4F98">
      <w:r>
        <w:separator/>
      </w:r>
    </w:p>
  </w:footnote>
  <w:footnote w:type="continuationSeparator" w:id="0">
    <w:p w:rsidR="004A4369" w:rsidRDefault="004A4369" w:rsidP="008B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EE"/>
    <w:rsid w:val="004A4369"/>
    <w:rsid w:val="007223EE"/>
    <w:rsid w:val="007563F2"/>
    <w:rsid w:val="007906CA"/>
    <w:rsid w:val="007A357F"/>
    <w:rsid w:val="008B4F98"/>
    <w:rsid w:val="00A2353D"/>
    <w:rsid w:val="00AC6900"/>
    <w:rsid w:val="00BB55DE"/>
    <w:rsid w:val="00C8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9C5BE7-2A65-458F-BF5B-8AD156E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F98"/>
    <w:rPr>
      <w:sz w:val="18"/>
      <w:szCs w:val="18"/>
    </w:rPr>
  </w:style>
  <w:style w:type="paragraph" w:styleId="a4">
    <w:name w:val="footer"/>
    <w:basedOn w:val="a"/>
    <w:link w:val="Char0"/>
    <w:uiPriority w:val="99"/>
    <w:unhideWhenUsed/>
    <w:rsid w:val="008B4F98"/>
    <w:pPr>
      <w:tabs>
        <w:tab w:val="center" w:pos="4153"/>
        <w:tab w:val="right" w:pos="8306"/>
      </w:tabs>
      <w:snapToGrid w:val="0"/>
      <w:jc w:val="left"/>
    </w:pPr>
    <w:rPr>
      <w:sz w:val="18"/>
      <w:szCs w:val="18"/>
    </w:rPr>
  </w:style>
  <w:style w:type="character" w:customStyle="1" w:styleId="Char0">
    <w:name w:val="页脚 Char"/>
    <w:basedOn w:val="a0"/>
    <w:link w:val="a4"/>
    <w:uiPriority w:val="99"/>
    <w:rsid w:val="008B4F98"/>
    <w:rPr>
      <w:sz w:val="18"/>
      <w:szCs w:val="18"/>
    </w:rPr>
  </w:style>
  <w:style w:type="paragraph" w:styleId="a5">
    <w:name w:val="List Paragraph"/>
    <w:basedOn w:val="a"/>
    <w:uiPriority w:val="34"/>
    <w:qFormat/>
    <w:rsid w:val="008B4F98"/>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8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20171109</dc:creator>
  <cp:keywords/>
  <dc:description/>
  <cp:lastModifiedBy>20171109</cp:lastModifiedBy>
  <cp:revision>5</cp:revision>
  <dcterms:created xsi:type="dcterms:W3CDTF">2018-03-30T06:35:00Z</dcterms:created>
  <dcterms:modified xsi:type="dcterms:W3CDTF">2018-03-30T06:45:00Z</dcterms:modified>
</cp:coreProperties>
</file>