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附件一：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包干责任区划分详见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1号楼A区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信息学院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1号楼B区、8号楼A区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智能学院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2号楼A区、8号楼B区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2号楼B区、4号楼部分区域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5号楼A区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土建学院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5号楼B区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外语学院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制药学院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3号楼B区</w:t>
            </w:r>
          </w:p>
        </w:tc>
      </w:tr>
    </w:tbl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备注：由于3号楼A区、4号楼和7号楼涉及学院较多，难以分配，因此由所住学生负责自己范围内相关“牛皮癣”清理工作。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YWIwZWM0NGYxMmE1NDI4NDkzZjBlYWEzZTdiODMifQ=="/>
  </w:docVars>
  <w:rsids>
    <w:rsidRoot w:val="1B4D429F"/>
    <w:rsid w:val="1B4D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2022-10-21T01:37:00Z</dcterms:created>
  <dc:creator>小花妹妹</dc:creator>
  <cp:lastModifiedBy>小花妹妹</cp:lastModifiedBy>
  <dcterms:modified xsi:type="dcterms:W3CDTF">2022-10-21T01:37:18Z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254F63A6528F42FAB006CB193FCCE057</vt:lpwstr>
  </property>
</Properties>
</file>